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r>
        <w:drawing>
          <wp:inline xmlns:a="http://schemas.openxmlformats.org/drawingml/2006/main" xmlns:pic="http://schemas.openxmlformats.org/drawingml/2006/picture">
            <wp:extent cx="4572000" cy="1296979"/>
            <wp:docPr id="1" name="Picture 1"/>
            <wp:cNvGraphicFramePr>
              <a:graphicFrameLocks noChangeAspect="1"/>
            </wp:cNvGraphicFramePr>
            <a:graphic>
              <a:graphicData uri="http://schemas.openxmlformats.org/drawingml/2006/picture">
                <pic:pic>
                  <pic:nvPicPr>
                    <pic:cNvPr id="0" name="NEI Logo-Proposal.jpg"/>
                    <pic:cNvPicPr/>
                  </pic:nvPicPr>
                  <pic:blipFill>
                    <a:blip r:embed="rId9"/>
                    <a:stretch>
                      <a:fillRect/>
                    </a:stretch>
                  </pic:blipFill>
                  <pic:spPr>
                    <a:xfrm>
                      <a:off x="0" y="0"/>
                      <a:ext cx="4572000" cy="1296979"/>
                    </a:xfrm>
                    <a:prstGeom prst="rect"/>
                  </pic:spPr>
                </pic:pic>
              </a:graphicData>
            </a:graphic>
          </wp:inline>
        </w:drawing>
      </w:r>
    </w:p>
    <w:p>
      <w:r>
        <w:t xml:space="preserve">                                             </w:t>
      </w:r>
    </w:p>
    <w:p>
      <w:r>
        <w:t>Date + Time: 2018-05-02 19:01</w:t>
      </w:r>
    </w:p>
    <w:p>
      <w:r>
        <w:t>In care of:__________________________________________</w:t>
      </w:r>
    </w:p>
    <w:p>
      <w:r>
        <w:t>Owner(s) of record: HOLMES GAIL S &amp; MALLINSON JAMES &amp; SULLIVAN SEAN 12 Blackwell Newport RI</w:t>
      </w:r>
    </w:p>
    <w:p>
      <w:r>
        <w:t>Plat + Lot (A.P.).: 07/ 379/ / /</w:t>
      </w:r>
    </w:p>
    <w:p>
      <w:r>
        <w:t xml:space="preserve">                                             </w:t>
      </w:r>
    </w:p>
    <w:p>
      <w:r>
        <w:t>Latest Book and Page: 2582/ 40</w:t>
      </w:r>
    </w:p>
    <w:p>
      <w:r>
        <w:t>Land evidence chain: 2445/ 32 159/ 278 x x</w:t>
      </w:r>
    </w:p>
    <w:p>
      <w:r>
        <w:t>Zone: R10</w:t>
      </w:r>
    </w:p>
    <w:p>
      <w:r>
        <w:t>Lot Area (Acres): 0.11+/-</w:t>
      </w:r>
    </w:p>
    <w:p>
      <w:r>
        <w:t>All information from Assessors Database unless noted</w:t>
      </w:r>
    </w:p>
    <w:p>
      <w:r>
        <w:t xml:space="preserve">                                             </w:t>
      </w:r>
    </w:p>
    <w:p>
      <w:r>
        <w:t xml:space="preserve">                                             </w:t>
      </w:r>
    </w:p>
    <w:p>
      <w:r>
        <w:t xml:space="preserve">Narragansett Engineering Inc is please to provide you with the following proposal, regarding: </w:t>
      </w:r>
    </w:p>
    <w:p>
      <w:r>
        <w:t xml:space="preserve">Newport GIS + Aerial Map: </w:t>
      </w:r>
      <w:r>
        <w:drawing>
          <wp:inline xmlns:a="http://schemas.openxmlformats.org/drawingml/2006/main" xmlns:pic="http://schemas.openxmlformats.org/drawingml/2006/picture">
            <wp:extent cx="4572000" cy="2328862"/>
            <wp:docPr id="2" name="Picture 2"/>
            <wp:cNvGraphicFramePr>
              <a:graphicFrameLocks noChangeAspect="1"/>
            </wp:cNvGraphicFramePr>
            <a:graphic>
              <a:graphicData uri="http://schemas.openxmlformats.org/drawingml/2006/picture">
                <pic:pic>
                  <pic:nvPicPr>
                    <pic:cNvPr id="0" name="tempgis.png"/>
                    <pic:cNvPicPr/>
                  </pic:nvPicPr>
                  <pic:blipFill>
                    <a:blip r:embed="rId10"/>
                    <a:stretch>
                      <a:fillRect/>
                    </a:stretch>
                  </pic:blipFill>
                  <pic:spPr>
                    <a:xfrm>
                      <a:off x="0" y="0"/>
                      <a:ext cx="4572000" cy="2328862"/>
                    </a:xfrm>
                    <a:prstGeom prst="rect"/>
                  </pic:spPr>
                </pic:pic>
              </a:graphicData>
            </a:graphic>
          </wp:inline>
        </w:drawing>
      </w:r>
    </w:p>
    <w:p>
      <w:r>
        <w:t xml:space="preserve">  Limited Content Boundary Survey, Survey Property Limits (9.2.20)  -On site metes and bounds property line survey, expose existing corner pins.   -Metes and Bounds Property Line Survey, existing surface features) -GPS Benchrun to NAVD '88  -Limited Content Survey (9.2.20 -Land Evidence Research at Town Hall+ Survey Recon (Operative documents) -Prepare Class 1 Survey Plan - CAD file available for prime use.   -9.2.23B. Showing minimum (2) monuments for control (state plane), display on plan.  Estimated Cost: Hourly Rates (Survey and Plan)   -Note: Spring 2018  -Due to extreme demand, NEI is not providing fixed price costs for many residential land surveys.  NEI generally specializes in site design; most of our surveys are geared toward eventual development (new buildings, civil / environmental designs, or additions). We still perform general land surveys, for accessory uses (such as setting fences, marking corner points, etc), though we may not be the most efficient firm for those services.</w:t>
        <w:br/>
        <w:br/>
        <w:t xml:space="preserve">-All of our surveys are provided at estimate costs based on hourly rates (aka “time and materials”).  A typical residential land survey and plan costs may range anywhere from $1,850 (For a well monumented area with reliable records and plans) to $2,500 + for complex parcels with little monumetnation, poor records, or dense brush in Rhode Island. </w:t>
        <w:br/>
        <w:br/>
        <w:t>-Costs for Massachusetts parcels general exceed $3,000.  Sites larger than 1-2 acres will generally be more expensive than these estimates.  Setting property corners, which is not inclusive unless noted will add costs as well. Please indicate if you need this service.</w:t>
        <w:br/>
        <w:br/>
        <w:t>-If you would like to proceed with a land survey, please provide a deposit of $1,500, along with a signed copy of this contract. We will place you on our survey schedule. Schedules, unless specifically noted otherwise are not fixed. The can vary with workload or due to aforementioned complexities. Generally, surveys take 2-3 weeks to complete. It may be many weeks until we can start new jobs. Complexities can add significant amounts of time.</w:t>
        <w:br/>
        <w:br/>
        <w:t>-We will provide you with a status report after</w:t>
        <w:br/>
        <w:t>--Performing records research (land evidence)</w:t>
        <w:br/>
        <w:t>--Site investigations (field trip)</w:t>
        <w:br/>
        <w:t>--Reconciliation (e.g., determining the survey lines and closures)</w:t>
        <w:br/>
        <w:br/>
        <w:t>-Invoices will be sent, monthly, or after stages of completion.  Retainers will be held until final billing (e.g. held until final invoice).</w:t>
        <w:br/>
        <w:br/>
        <w:t>-We apologize for having to take these steps, but they are necessary to keep our workload at a level to which we can properly serve clients. We are actively working on adding staff to be able to handle these high volumes, and hope to decrease wait times. If you have any questions, please don’t hesitate to contact us.</w:t>
        <w:br/>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w:t>
        <w:br/>
        <w:t>-</w:t>
        <w:br/>
        <w:t>All request for survey and staking, must come through the main office, field staff may not be able to process scheduling directly.</w:t>
        <w:br/>
        <w:t>Stake out / construction layout procedure.</w:t>
        <w:br/>
        <w:br/>
        <w:t xml:space="preserve">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br/>
        <w:t>-Upon completion, NEI will provide a Post-Stakeout SK, displaying actual points set for record information.</w:t>
        <w:br/>
        <w:br/>
        <w:t>-NEI recommends having all survey plans recorded in land evidence. This can be performed by the owner, there is a fee to record in land evidence (varies by municipality), though a Mylar print will need to be used ($85 per).</w:t>
        <w:br/>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br/>
        <w:t>-Any work required to be performed earlier than 8.00a or later than 4.30p Monday through Friday, or any work required to be performed on a weekend or Federal or State Holiday will incur overtime rates (1.5x to 2x)</w:t>
        <w:br/>
        <w:br/>
        <w:t>-Landscape Architecture Plans or design area not  inclusive unless noted otherwise</w:t>
        <w:br/>
        <w:br/>
        <w:t>-Traffic analysis, counts, testimony not inclusive unless noted otherwise.</w:t>
        <w:br/>
        <w:br/>
        <w:t>-Photometric Plan not inclusive unless noted otherwise.</w:t>
        <w:br/>
        <w:br/>
        <w:t>-Geotechnical analysis or borings not inclusive unless noted otherwise.</w:t>
        <w:br/>
      </w:r>
      <w:r/>
    </w:p>
    <w:p>
      <w:r>
        <w:t xml:space="preserve">Assesors Database Information Continued: </w:t>
      </w:r>
      <w:r>
        <w:t>From assessors datatabase: 2018-05-02 19:01</w:t>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1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2VAcrop.png"/>
                    <pic:cNvPicPr/>
                  </pic:nvPicPr>
                  <pic:blipFill>
                    <a:blip r:embed="rId12"/>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5" name="Picture 5"/>
            <wp:cNvGraphicFramePr>
              <a:graphicFrameLocks noChangeAspect="1"/>
            </wp:cNvGraphicFramePr>
            <a:graphic>
              <a:graphicData uri="http://schemas.openxmlformats.org/drawingml/2006/picture">
                <pic:pic>
                  <pic:nvPicPr>
                    <pic:cNvPr id="0" name="3VAcrop.png"/>
                    <pic:cNvPicPr/>
                  </pic:nvPicPr>
                  <pic:blipFill>
                    <a:blip r:embed="rId13"/>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6" name="Picture 6"/>
            <wp:cNvGraphicFramePr>
              <a:graphicFrameLocks noChangeAspect="1"/>
            </wp:cNvGraphicFramePr>
            <a:graphic>
              <a:graphicData uri="http://schemas.openxmlformats.org/drawingml/2006/picture">
                <pic:pic>
                  <pic:nvPicPr>
                    <pic:cNvPr id="0" name="ridemgis.png"/>
                    <pic:cNvPicPr/>
                  </pic:nvPicPr>
                  <pic:blipFill>
                    <a:blip r:embed="rId14"/>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7" name="Picture 7"/>
            <wp:cNvGraphicFramePr>
              <a:graphicFrameLocks noChangeAspect="1"/>
            </wp:cNvGraphicFramePr>
            <a:graphic>
              <a:graphicData uri="http://schemas.openxmlformats.org/drawingml/2006/picture">
                <pic:pic>
                  <pic:nvPicPr>
                    <pic:cNvPr id="0" name="cropfema.png"/>
                    <pic:cNvPicPr/>
                  </pic:nvPicPr>
                  <pic:blipFill>
                    <a:blip r:embed="rId15"/>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